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5418E7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5418E7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02/04/2024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>TRAVAUX DE CONSTRUCTION DE TROIS PISTES AU NIVEAU DE LA COMMUNE JOUAMAA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  <w:bookmarkStart w:id="0" w:name="_GoBack"/>
            <w:bookmarkEnd w:id="0"/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82</cp:revision>
  <cp:lastPrinted>2019-10-15T18:29:00Z</cp:lastPrinted>
  <dcterms:created xsi:type="dcterms:W3CDTF">2017-06-07T09:48:00Z</dcterms:created>
  <dcterms:modified xsi:type="dcterms:W3CDTF">2024-02-29T10:47:00Z</dcterms:modified>
</cp:coreProperties>
</file>